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ROLE OF ESG (ENVIRONMENTAL, SOCIAL, AND GOVERNANCE) COMPLIANCE IN M&amp;A DEALS</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corporate environment, </w:t>
      </w:r>
      <w:r w:rsidDel="00000000" w:rsidR="00000000" w:rsidRPr="00000000">
        <w:rPr>
          <w:rFonts w:ascii="Times New Roman" w:cs="Times New Roman" w:eastAsia="Times New Roman" w:hAnsi="Times New Roman"/>
          <w:sz w:val="24"/>
          <w:szCs w:val="24"/>
          <w:rtl w:val="0"/>
        </w:rPr>
        <w:t xml:space="preserve">ESG</w:t>
      </w:r>
      <w:r w:rsidDel="00000000" w:rsidR="00000000" w:rsidRPr="00000000">
        <w:rPr>
          <w:rFonts w:ascii="Times New Roman" w:cs="Times New Roman" w:eastAsia="Times New Roman" w:hAnsi="Times New Roman"/>
          <w:sz w:val="24"/>
          <w:szCs w:val="24"/>
          <w:rtl w:val="0"/>
        </w:rPr>
        <w:t xml:space="preserve"> compliance is increasingly shaping investment strategies and corporate policies. The ESG framework covers a wide array of non-financial indicators such as carbon emissions, efficient resource use, labor relations, diversity, and internal governance, all of which affect risk and sustainable value. In India, ESG has gained significant traction following regulatory interventions by the Securities and Exchange Board of India (SEBI) and the Ministry of Corporate Affairs (MCA), particularly through initiatives like the Business Responsibility and Sustainability Report (BRSR), which is mandatory for the top 1000 listed companies from FY 2022-23 onward. (SEBI, 2023)</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Mergers and Acquisitions (M&amp;A) serve as powerful tools for strategic growth, market consolidation, and innovation enhancement. In India, M&amp;A activity has surged in sectors such as renewable energy, fintech, pharmaceuticals, and e-commerce—domains where ESG compliance plays a material role in deal-making. ESG now significantly impacts due diligence processes, valuation frameworks, and post-merger integration strategies.</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Amid rising investor expectations, the growth of sustainability-linked financing, and tightening regulatory mandates, ESG compliance is no longer a peripheral concern in Indian M&amp;A—it has become a core strategic factor. It now shapes the entire lifecycle of M&amp;A transactions, from identifying target companies to negotiating deal terms and managing post-acquisition integration. ESG is increasingly emerging as a defining force in the way modern deals are evaluated and executed.</w:t>
      </w:r>
    </w:p>
    <w:p w:rsidR="00000000" w:rsidDel="00000000" w:rsidP="00000000" w:rsidRDefault="00000000" w:rsidRPr="00000000" w14:paraId="0000000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article explores the evolving role of ESG compliance in M&amp;A transactions, examining how it drives value creation, mitigates risks, and influences strategic decision-making. It delves into the increasing importance of ESG in investment trends, the integration of ESG in due diligence practices, its impact on deal structuring and valuation, and the challenges that companies face in aligning with ESG frameworks. The article concludes by offering a forward-looking perspective on the future of ESG in shaping M&amp;A landscapes, particularly in the Indian context, with references to global best practices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The Growing Importance of ESG in M&amp;A</w:t>
      </w:r>
    </w:p>
    <w:p w:rsidR="00000000" w:rsidDel="00000000" w:rsidP="00000000" w:rsidRDefault="00000000" w:rsidRPr="00000000" w14:paraId="00000008">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 The Shift Toward Sustainable and Responsible Investment</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has witnessed a paradigm shift in how capital markets approach ESG. The SEBI-mandated </w:t>
      </w:r>
      <w:r w:rsidDel="00000000" w:rsidR="00000000" w:rsidRPr="00000000">
        <w:rPr>
          <w:rFonts w:ascii="Times New Roman" w:cs="Times New Roman" w:eastAsia="Times New Roman" w:hAnsi="Times New Roman"/>
          <w:sz w:val="24"/>
          <w:szCs w:val="24"/>
          <w:rtl w:val="0"/>
        </w:rPr>
        <w:t xml:space="preserve">BRSR</w:t>
      </w:r>
      <w:r w:rsidDel="00000000" w:rsidR="00000000" w:rsidRPr="00000000">
        <w:rPr>
          <w:rFonts w:ascii="Times New Roman" w:cs="Times New Roman" w:eastAsia="Times New Roman" w:hAnsi="Times New Roman"/>
          <w:sz w:val="24"/>
          <w:szCs w:val="24"/>
          <w:rtl w:val="0"/>
        </w:rPr>
        <w:t xml:space="preserve"> framework is a landmark move, aligning Indian corporate disclosures with global sustainability norms. (SEBI, 2021) Institutional investors like the Life Insurance Corporation of India (LIC) and SBI Mutual Fund have begun factoring ESG metrics into portfolio decisions. (Ghosh, 2022; RBI, 2021) Moreover, the Reserve Bank of India (RBI) has encouraged banks and financial institutions to assess environmental and social risks in lending and investment practices.</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Internationally, asset managers such as BlackRock have integrated ESG into their core investment thesis, declaring climate risk as investment risk. However, India's momentum has been locally driven through the NITI Aayog’s Sustainable Development Goals Index, the National Voluntary Guidelines on Responsible Business Conduct, and market-led initiatives such as ESG rating agencies (e.g., CRISIL ESG scores).</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regulatory push and investor awakening are prompting Indian companies to embed ESG into their operating models. Companies are not only adopting ESG principles to enhance their sustainability image but also to unlock investment opportunities and improve risk management. As a result, ESG is rapidly becoming a strategic lever in Indian M&amp;A activity, with stakeholders increasingly prioritizing these factors in assessing both domestic and cross-border deals.</w:t>
      </w:r>
    </w:p>
    <w:p w:rsidR="00000000" w:rsidDel="00000000" w:rsidP="00000000" w:rsidRDefault="00000000" w:rsidRPr="00000000" w14:paraId="0000000C">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 ESG as a Value Driver in M&amp;A Transactions</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companies with high ESG performance are increasingly perceived as resilient, future-ready, and lower-risk acquisition targets. For instance, Tata Power's pivot toward renewable energy and its improved ESG disclosures have boosted its valuation and acquisition interest from both domestic and international investors. (Zhu, Q.,Jin, S., Huang., Yan, C., Chen, C., 2022) Similarly, Infosys has capitalized on its long-standing ESG commitments in governance and human capital management to enhance its attractiveness in global partnerships and buyouts.</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Robust ESG performance acts as a value driver in three key ways: it reduces reputational and regulatory risks, enhances stakeholder trust, and aligns with global capital flows that prioritize sustainability. Research by CRISIL (2022) demonstrated that firms with higher ESG scores had lower equity volatility and stronger financial performance over a five-year horizon—an insight highly relevant for potential acquirers.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ESG compliance enables firms to anticipate emerging legal requirements and reputational challenges. As stakeholders across the value chain—from investors to consumers—increasingly demand accountability, firms that proactively engage with ESG are better positioned to navigate the dynamic business environment. For acquirers, this makes ESG-compliant companies more attractive, not only for financial reasons but also for long-term strategic alignment.</w:t>
      </w:r>
    </w:p>
    <w:p w:rsidR="00000000" w:rsidDel="00000000" w:rsidP="00000000" w:rsidRDefault="00000000" w:rsidRPr="00000000" w14:paraId="00000010">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 ESG-Driven Market Trends in M&amp;A</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sectors in India are particularly sensitive to ESG dynamics and have emerged as primary arenas for ESG-driven M&amp;A. These include renewable energy, electric vehicles (EVs), agritech, and financial services. (Kasinath, A., Fudala-Ksiazek, S., Szopinska, M., Bilinski, H., Artichowicz, W., Remiszewska-Skwarek, A., &amp; Luczkiewicz, A. 2021) The Indian government’s ambitious commitment to achieve net-zero emissions by 2070 and its promotion of green finance have significantly elevated ESG’s role in deal selection and execution, particularly in infrastructure and climate technology sectors.</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Cross-border transactions are also profoundly impacted by ESG considerations. Indian companies seeking to acquire or merge with entities in jurisdictions such as the European Union or the United States must comply with extraterritorial ESG regulations, including the EU Sustainable Finance Disclosure Regulation (SFDR) and the Corporate Sustainability Reporting Directive (CSRD). Conversely, foreign investors eyeing Indian targets are closely scrutinizing compliance with the BRSR framework, domestic data privacy standards, and supply chain transparency.</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Collectively, these developments signify that ESG is no longer a secondary filter in deal-making. It has become a directional compass in India’s M&amp;A landscape, guiding both strategic choices and operational execution. M&amp;A participants—be they buyers, sellers, or financiers—must now consider ESG as a central determinant of value, risk, and post-deal success.</w:t>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ESG Due Diligence in M&amp;A Transactions</w:t>
      </w:r>
    </w:p>
    <w:p w:rsidR="00000000" w:rsidDel="00000000" w:rsidP="00000000" w:rsidRDefault="00000000" w:rsidRPr="00000000" w14:paraId="00000015">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2.1 The Role of ESG in Pre-Merger Due Diligence</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diligence has long been a critical aspect of M&amp;A transactions, traditionally encompassing financial audits, legal assessments, and operational evaluations. However, with ESG becoming an essential component of enterprise value and risk, Indian acquirers are increasingly integrating ESG factors into pre-merger assessments. Conducting ESG-specific due diligence enables acquirers to determine whether a target entity adheres to sustainability goals and governance best practices. This holistic analysis helps uncover hidden liabilities, reputational risks, and regulatory gaps that may not be evident through conventional due diligence.</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ESG due diligence is gradually being institutionalized, particularly under the influence of SEBI’s BRSR guidelines. Companies are now required to disclose material ESG risks and sustainability strategies, allowing acquirers to identify red flags such as non-compliance with environmental laws, lack of diversity and inclusion (D&amp;I) policies, or opaque governance structures. A 2023 KPMG India report indicated that more than 65% of large Indian acquirers now include ESG metrics in their due diligence frameworks, particularly in high-impact sectors such as manufacturing, pharmaceuticals, and logistics.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third-party audits and ESG consultants are being deployed to validate disclosures and assess real-time ESG maturity. These assessments typically cover key areas like emissions management, employee welfare, board diversity, data protection, and supply chain ethics. Investors and acquirers are also reviewing alignment with India’s broader sustainable development goals and compliance with applicable laws such as the Environment Protection Act, 1986 and the Companies Act, 2013.</w:t>
      </w:r>
    </w:p>
    <w:p w:rsidR="00000000" w:rsidDel="00000000" w:rsidP="00000000" w:rsidRDefault="00000000" w:rsidRPr="00000000" w14:paraId="00000019">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2.2 Evaluating Environmental Factors in M&amp;A</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diligence focuses on understanding the ecological impact and sustainability profile of a target company. For Indian acquirers, this includes assessing carbon emissions, waste disposal mechanisms, water usage, and the target's compliance with national and state-level environmental regulations. Companies operating in polluting industries such as chemicals, textiles, and construction are under heightened scrutiny due to increasing enforcement by bodies like the Central Pollution Control Board (CPCB).</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risks are not just legal liabilities—they can directly influence the financial feasibility of a deal. For instance, failure to disclose past violations or pending environmental litigation can result in post-merger penalties, site remediation costs, or reputational damage. In one notable case, an Indian infrastructure company faced significant financial setbacks after acquiring a legacy manufacturing unit with a history of environmental violations. The absence of thorough environmental due diligence led to unexpected compliance burdens and reputational harm.</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India aligns with global environmental norms, such as those under the Paris Agreement, buyers are also beginning to assess a target’s future readiness. This includes evaluating alignment with the Task Force on Climate-related Financial Disclosures (TCFD), net-zero roadmaps, and renewable energy adoption. ESG-savvy acquirers are leveraging environmental performance as a criterion not only for risk mitigation but also for identifying growth opportunities in green sectors.</w:t>
      </w:r>
    </w:p>
    <w:p w:rsidR="00000000" w:rsidDel="00000000" w:rsidP="00000000" w:rsidRDefault="00000000" w:rsidRPr="00000000" w14:paraId="0000001D">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2.3 Assessing Social and Governance Risks</w:t>
      </w:r>
    </w:p>
    <w:p w:rsidR="00000000" w:rsidDel="00000000" w:rsidP="00000000" w:rsidRDefault="00000000" w:rsidRPr="00000000" w14:paraId="0000001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and governance factors are equally crucial in shaping the outcome of M&amp;A transactions. Social due diligence involves evaluating a company’s labor practices, community engagement policies, gender and caste diversity, workplace safety records, and human rights compliance. (Desai &amp; Iyer, 2023) Governance diligence, on the other hand, scrutinizes board independence, audit quality, shareholder rights, executive compensation, and ethical conduct.</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non-compliance with social standards such as the Sexual Harassment of Women at Workplace (Prevention, Prohibition and Redressal) Act, 2013 (POSH Act), poor working conditions, or the absence of robust grievance redressal mechanisms can derail M&amp;A transactions. Similarly, companies with a history of related-party transactions lacking transparency or poor audit oversight present serious governance red flags. These issues can significantly affect the perceived integrity and sustainability of the target firm.</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Governance risks are gaining even more attention in light of India's recent push towards data privacy regulations. With the enactment of the Digital Personal Data Protection Act, 2023, acquirers must now assess whether the target company adheres to stringent data governance and privacy norms, particularly in data-driven sectors like IT, fintech, and e-commerce.</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Foreign investors are also applying governance standards that reflect global norms, requiring Indian companies to match expectations on ESG transparency, risk management, and board accountability. As a result, Indian acquirers and targets alike are reconfiguring their governance frameworks to ensure smoother and more credible M&amp;A outcomes.</w:t>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ESG's Impact on Deal Structuring and Valuation</w:t>
      </w:r>
    </w:p>
    <w:p w:rsidR="00000000" w:rsidDel="00000000" w:rsidP="00000000" w:rsidRDefault="00000000" w:rsidRPr="00000000" w14:paraId="00000023">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3.1 ESG Premium or Discount in Valuation</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Indian M&amp;A context, ESG performance is emerging as a pricing determinant, influencing how target companies are valued and negotiated. Firms that demonstrate strong ESG credentials—such as robust environmental compliance, transparent governance, and proactive social responsibility—are likely to attract higher valuations. (Schoenmaker &amp; Schramade, 2019) This premium is often justified by the long-term value creation and risk mitigation ESG practices offer. For example, companies with clean energy portfolios, supply chain traceability, or strong data governance may command a valuation uplift of 5–10% over less compliant peers.</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2022 EY India report observed that sustainability-aligned companies often attract more competitive bids and better financing terms, particularly in sectors such as technology, logistics, renewable energy, and financial services. Acquirers are increasingly including ESG considerations in their discounted cash flow models, adjusting projections based on climate transition risks, potential penalties, or the value of sustainability-linked revenue streams.</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companies lacking in ESG preparedness may suffer valuation discounts. Legal liabilities, exposure to reputational risks, or lack of data privacy compliance can force buyers to renegotiate terms or build in financial buffers such as indemnities. In some cases, poor ESG performance can become a deal-breaker altogether.</w:t>
      </w:r>
    </w:p>
    <w:p w:rsidR="00000000" w:rsidDel="00000000" w:rsidP="00000000" w:rsidRDefault="00000000" w:rsidRPr="00000000" w14:paraId="00000027">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3.2 Structuring M&amp;A Deals with ESG Considerations</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ESG concerns are also reshaping the structure and documentation of M&amp;A transactions in India. (Weber &amp; Feltmate, 2016; Eccles &amp; Klimenko, 2019) Legal advisors are now incorporating ESG-related representations, warranties, and indemnity clauses into Share Purchase Agreements (SPAs), Asset Purchase Agreements (APAs), and Business Transfer Agreements (BTAs). These contractual provisions are designed to protect buyers from unforeseen ESG-related liabilities that may arise post-acquisition.</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 structuring mechanisms, such as sustainability-linked earn-outs, are also being introduced. Under this model, a portion of the deal consideration is deferred and tied to the achievement of agreed ESG performance metrics—such as emissions reductions, gender diversity benchmarks, or community development targets—within a defined timeframe post-acquisition. This aligns the interests of both parties while reinforcing long-term ESG accountability.</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Financing arrangements are reflecting this shift too. Indian banks and private equity players are deploying sustainability-linked loans and green bonds to fund ESG-positive acquisitions. These instruments often come with interest rate incentives based on ESG milestones. Regulatory encouragement from the Reserve Bank of India (RBI) and policy nudges from the Ministry of Finance are further driving the adoption of such financial tools.</w:t>
      </w:r>
    </w:p>
    <w:p w:rsidR="00000000" w:rsidDel="00000000" w:rsidP="00000000" w:rsidRDefault="00000000" w:rsidRPr="00000000" w14:paraId="0000002B">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3.3 The Role of ESG in Post-Merger Integration</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Post-merger integration (PMI) is where ESG strategies can truly make or break the long-term success of a transaction. In India, where target companies often differ in ESG maturity, integration efforts must align the sustainability policies, reporting mechanisms, and cultural values of both entities. This is especially critical when the acquiring firm operates in a highly regulated or public-facing industry.</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PMI teams are now expected to unify ESG-related reporting practices—often under frameworks like the </w:t>
      </w:r>
      <w:r w:rsidDel="00000000" w:rsidR="00000000" w:rsidRPr="00000000">
        <w:rPr>
          <w:rFonts w:ascii="Times New Roman" w:cs="Times New Roman" w:eastAsia="Times New Roman" w:hAnsi="Times New Roman"/>
          <w:sz w:val="24"/>
          <w:szCs w:val="24"/>
          <w:rtl w:val="0"/>
        </w:rPr>
        <w:t xml:space="preserve">BRSR, GRI, or SASB</w:t>
      </w:r>
      <w:r w:rsidDel="00000000" w:rsidR="00000000" w:rsidRPr="00000000">
        <w:rPr>
          <w:rFonts w:ascii="Times New Roman" w:cs="Times New Roman" w:eastAsia="Times New Roman" w:hAnsi="Times New Roman"/>
          <w:sz w:val="24"/>
          <w:szCs w:val="24"/>
          <w:rtl w:val="0"/>
        </w:rPr>
        <w:t xml:space="preserve">. (Ioannou &amp; Serafeim, 2017; Eccles, Ioannou, &amp; Serafeim, 2014) They must also establish joint ESG committees or governance bodies to oversee implementation, track progress, and report outcomes to stakeholders. Workforce engagement and internal communication play a key role in ensuring that ESG principles are embedded into the combined entity’s ethos.</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illustrative case is the Tata Steel-Bhushan Steel merger, where post-merger efforts went beyond operational consolidation to include harmonization of environmental practices and employee welfare programs. Today, successful ESG integration is not just a moral imperative—it is a strategic necessity for maintaining investor confidence and regulatory compliance.</w:t>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Challenges and Future of ESG in M&amp;A</w:t>
      </w:r>
    </w:p>
    <w:p w:rsidR="00000000" w:rsidDel="00000000" w:rsidP="00000000" w:rsidRDefault="00000000" w:rsidRPr="00000000" w14:paraId="00000030">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4.1 Key Challenges in ESG Compliance for M&amp;A</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significant progress, several challenges persist in integrating ESG into M&amp;A in India. A major challenge lies in the absence of uniform ESG reporting frameworks, complicating comparability and evaluation. (Clark, Feiner, &amp; Viehs, 2015; Lyon &amp; Montgomery, 2015) While SEBI's BRSR initiative is a major step, Indian companies continue to follow varied disclosure standards, including global frameworks such as GRI, SASB, and TCFD. This lack of uniformity complicates benchmarking and comparability, particularly in cross-border transactions.</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Greenwashing remains a key concern, with companies often overstating or misrepresenting their ESG initiatives. (Lyon &amp; Montgomery, 2015) With ESG becoming a marketing advantage, some companies exaggerate or misstate their sustainability credentials. The absence of rigorous third-party assurance or regulatory penalties for false claims heightens the risk of acquiring companies with misrepresented ESG performance, leading to long-term liabilities.</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fragmented regulatory oversight remains a barrier. SEBI, RBI, MCA, and other authorities have issued ESG-related directives, but there is limited coordination or convergence in enforcement. This regulatory fragmentation creates uncertainty for both domestic acquirers and foreign investors evaluating Indian targets.</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Capacity constraints further inhibit ESG adoption, especially among SMEs. Smaller firms often lack the technical expertise, human resources, and financial capacity to implement and monitor comprehensive ESG programs. As a result, these firms may struggle to meet ESG expectations, even if they are otherwise attractive acquisition targets.</w:t>
      </w:r>
    </w:p>
    <w:p w:rsidR="00000000" w:rsidDel="00000000" w:rsidP="00000000" w:rsidRDefault="00000000" w:rsidRPr="00000000" w14:paraId="00000035">
      <w:pPr>
        <w:spacing w:before="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4.2 Future Trends in ESG and M&amp;A</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ahead, several trends are poised to reshape ESG’s role in Indian M&amp;A. A major development will be the creation of a unified ESG taxonomy and data repository by Indian regulators. This would streamline disclosures, improve access to comparable ESG data, and reduce due diligence complexities.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innovation will also play a crucial role. AI-driven ESG analytics, predictive risk modelling, and automated compliance tools are being developed to support due diligence and integration. (Grewal, Serafeim, &amp; Yoon, 2016) These tools can identify potential ESG red flags in real-time, providing acquirers with sharper insights into the target’s sustainability profile.</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investors and private equity funds are expected to further embed ESG criteria into their investment and acquisition frameworks. Firms like ChrysCapital and Everstone have already started using ESG checklists in deal sourcing and post-deal monitoring. Globally, ESG-focused funds are increasing their exposure to Indian companies that can demonstrate long-term sustainability strategies.</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Sustainability-linked financing instruments will also continue to expand. Regulatory incentives for green bonds, sustainability-linked loans, and blended finance structures will encourage acquirers to adopt ESG-aligned capital strategies.</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India's commitment to achieving net-zero emissions by 2070, combined with a growing policy focus on sustainable development, ensures that ESG will remain a key pillar of the M&amp;A landscape. Companies that internalize ESG principles are likely to enjoy preferential access to capital, smoother regulatory approvals, and enhanced brand equity.</w:t>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ESG compliance in M&amp;A transactions is no longer optional or peripheral—it is central to strategic decision-making and long-term value creation. In India, regulatory developments such as SEBI’s BRSR framework, combined with evolving investor expectations, are driving a shift toward more responsible and sustainable deal-making.</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has explored how ESG influences various stages of the M&amp;A lifecycle—from target identification and valuation to due diligence, deal structuring, and post-merger integration. ESG not only helps mitigate risks and build resilience but also enhances stakeholder trust and unlocks new avenues for capital access and competitive advantage.</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existing hurdles like reporting inconsistencies, greenwashing, and regulatory fragmentation, the future trajectory is clear. ESG is rapidly transitioning from a formality to a core strategic component, driven by technological innovation, increased investor oversight, and societal demands. (Amberg, N., &amp; Friberg, R. 2016).</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Indian corporates and investors, this presents a unique opportunity to lead the global ESG movement from the front. By embedding ESG principles into the fabric of M&amp;A decision-making, businesses can drive sustainable growth, create inclusive value, and contribute meaningfully to the country’s long-term development agenda.</w:t>
      </w:r>
    </w:p>
    <w:p w:rsidR="00000000" w:rsidDel="00000000" w:rsidP="00000000" w:rsidRDefault="00000000" w:rsidRPr="00000000" w14:paraId="00000040">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REFERENCES</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SEBI. (2023, July). </w:t>
      </w:r>
      <w:r w:rsidDel="00000000" w:rsidR="00000000" w:rsidRPr="00000000">
        <w:rPr>
          <w:rFonts w:ascii="Times New Roman" w:cs="Times New Roman" w:eastAsia="Times New Roman" w:hAnsi="Times New Roman"/>
          <w:i w:val="1"/>
          <w:sz w:val="24"/>
          <w:szCs w:val="24"/>
          <w:rtl w:val="0"/>
        </w:rPr>
        <w:t xml:space="preserve">SEBI |BRSR Core – Framework for assurance and ESG disclosures for value chain</w:t>
      </w:r>
      <w:r w:rsidDel="00000000" w:rsidR="00000000" w:rsidRPr="00000000">
        <w:rPr>
          <w:rFonts w:ascii="Times New Roman" w:cs="Times New Roman" w:eastAsia="Times New Roman" w:hAnsi="Times New Roman"/>
          <w:sz w:val="24"/>
          <w:szCs w:val="24"/>
          <w:rtl w:val="0"/>
        </w:rPr>
        <w:t xml:space="preserve">. Www.sebi.gov.in.</w:t>
      </w:r>
      <w:hyperlink r:id="rId7">
        <w:r w:rsidDel="00000000" w:rsidR="00000000" w:rsidRPr="00000000">
          <w:rPr>
            <w:rFonts w:ascii="Times New Roman" w:cs="Times New Roman" w:eastAsia="Times New Roman" w:hAnsi="Times New Roman"/>
            <w:color w:val="000000"/>
            <w:sz w:val="24"/>
            <w:szCs w:val="24"/>
            <w:u w:val="none"/>
            <w:rtl w:val="0"/>
          </w:rPr>
          <w:t xml:space="preserve">http://www.sebi.gov.in/legal/circulars/jul-2023/brsr-core-framework-for-assurance-and-esg-disclosures-for-value-chain_73854.html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SEBI. (2021, May). </w:t>
      </w:r>
      <w:r w:rsidDel="00000000" w:rsidR="00000000" w:rsidRPr="00000000">
        <w:rPr>
          <w:rFonts w:ascii="Times New Roman" w:cs="Times New Roman" w:eastAsia="Times New Roman" w:hAnsi="Times New Roman"/>
          <w:i w:val="1"/>
          <w:sz w:val="24"/>
          <w:szCs w:val="24"/>
          <w:rtl w:val="0"/>
        </w:rPr>
        <w:t xml:space="preserve">SEBI | Business responsibility and sustainability reporting by listed entities</w:t>
      </w:r>
      <w:r w:rsidDel="00000000" w:rsidR="00000000" w:rsidRPr="00000000">
        <w:rPr>
          <w:rFonts w:ascii="Times New Roman" w:cs="Times New Roman" w:eastAsia="Times New Roman" w:hAnsi="Times New Roman"/>
          <w:sz w:val="24"/>
          <w:szCs w:val="24"/>
          <w:rtl w:val="0"/>
        </w:rPr>
        <w:t xml:space="preserve">. Www.sebi.gov.in. </w:t>
      </w:r>
      <w:hyperlink r:id="rId8">
        <w:r w:rsidDel="00000000" w:rsidR="00000000" w:rsidRPr="00000000">
          <w:rPr>
            <w:rFonts w:ascii="Times New Roman" w:cs="Times New Roman" w:eastAsia="Times New Roman" w:hAnsi="Times New Roman"/>
            <w:color w:val="000000"/>
            <w:sz w:val="24"/>
            <w:szCs w:val="24"/>
            <w:u w:val="none"/>
            <w:rtl w:val="0"/>
          </w:rPr>
          <w:t xml:space="preserve">https://www.sebi.gov.in/legal/circulars/may-2021/business-responsibility-and-sustainability-reporting-by-listed-entities_50096.html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RBI. (2021). </w:t>
      </w:r>
      <w:r w:rsidDel="00000000" w:rsidR="00000000" w:rsidRPr="00000000">
        <w:rPr>
          <w:rFonts w:ascii="Times New Roman" w:cs="Times New Roman" w:eastAsia="Times New Roman" w:hAnsi="Times New Roman"/>
          <w:i w:val="1"/>
          <w:sz w:val="24"/>
          <w:szCs w:val="24"/>
          <w:rtl w:val="0"/>
        </w:rPr>
        <w:t xml:space="preserve">Reserve Bank of India – RBI Bulletin. </w:t>
      </w:r>
      <w:r w:rsidDel="00000000" w:rsidR="00000000" w:rsidRPr="00000000">
        <w:rPr>
          <w:rFonts w:ascii="Times New Roman" w:cs="Times New Roman" w:eastAsia="Times New Roman" w:hAnsi="Times New Roman"/>
          <w:sz w:val="24"/>
          <w:szCs w:val="24"/>
          <w:rtl w:val="0"/>
        </w:rPr>
        <w:t xml:space="preserve">Rbi.org.in. </w:t>
      </w:r>
    </w:p>
    <w:p w:rsidR="00000000" w:rsidDel="00000000" w:rsidP="00000000" w:rsidRDefault="00000000" w:rsidRPr="00000000" w14:paraId="00000045">
      <w:pPr>
        <w:spacing w:after="0" w:lineRule="auto"/>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00"/>
            <w:sz w:val="24"/>
            <w:szCs w:val="24"/>
            <w:u w:val="none"/>
            <w:rtl w:val="0"/>
          </w:rPr>
          <w:t xml:space="preserve">https://www.rbi.org.in/Scripts/BS_ViewBulletin.aspx?Id=20469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Zhu, Q.,Jin, S., Huang., Yan, C., Chen, C., (2022). The Impact of ESG Performance on Firm Valuation: Evidence from India. International Review of Financial Analysis, 85, 102377. https://doi.org/10.1016/j.irfa.2022.102377.</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5.Kasinath, A., Fudala-Ksiazek, S., Szopinska, M., Bylinski, H., Artichowicz, W., Remiszewska-Skwarek, A., &amp; Luczkiewicz, A. (2021). Biomass in biogas production: Pretreatment and codigestion. </w:t>
      </w:r>
      <w:r w:rsidDel="00000000" w:rsidR="00000000" w:rsidRPr="00000000">
        <w:rPr>
          <w:rFonts w:ascii="Times New Roman" w:cs="Times New Roman" w:eastAsia="Times New Roman" w:hAnsi="Times New Roman"/>
          <w:i w:val="1"/>
          <w:sz w:val="24"/>
          <w:szCs w:val="24"/>
          <w:rtl w:val="0"/>
        </w:rPr>
        <w:t xml:space="preserve">Renewable and Sustainable Energy Reviews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150</w:t>
      </w:r>
      <w:r w:rsidDel="00000000" w:rsidR="00000000" w:rsidRPr="00000000">
        <w:rPr>
          <w:rFonts w:ascii="Times New Roman" w:cs="Times New Roman" w:eastAsia="Times New Roman" w:hAnsi="Times New Roman"/>
          <w:sz w:val="24"/>
          <w:szCs w:val="24"/>
          <w:rtl w:val="0"/>
        </w:rPr>
        <w:t xml:space="preserve">(1), 111509. https://doi.org/10.1016/j.rser.2021.111509.</w:t>
      </w:r>
    </w:p>
    <w:p w:rsidR="00000000" w:rsidDel="00000000" w:rsidP="00000000" w:rsidRDefault="00000000" w:rsidRPr="00000000" w14:paraId="0000004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5.Schoenmaker, D., &amp; Schramade, W. (2019). Principles of Sustainable Finance. </w:t>
      </w:r>
      <w:r w:rsidDel="00000000" w:rsidR="00000000" w:rsidRPr="00000000">
        <w:rPr>
          <w:rFonts w:ascii="Times New Roman" w:cs="Times New Roman" w:eastAsia="Times New Roman" w:hAnsi="Times New Roman"/>
          <w:i w:val="1"/>
          <w:sz w:val="24"/>
          <w:szCs w:val="24"/>
          <w:rtl w:val="0"/>
        </w:rPr>
        <w:t xml:space="preserve">Oxford University Press.</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6.Shi, W., Gao, C., &amp; Aguilera, R. V. (2020). The liabilities of foreign institutional ownership: Managing political dependence through corporate political spending. </w:t>
      </w:r>
      <w:r w:rsidDel="00000000" w:rsidR="00000000" w:rsidRPr="00000000">
        <w:rPr>
          <w:rFonts w:ascii="Times New Roman" w:cs="Times New Roman" w:eastAsia="Times New Roman" w:hAnsi="Times New Roman"/>
          <w:i w:val="1"/>
          <w:sz w:val="24"/>
          <w:szCs w:val="24"/>
          <w:rtl w:val="0"/>
        </w:rPr>
        <w:t xml:space="preserve">Strategic Management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(1), 84–113. https://doi.org/10.1002/smj.3211</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7.Olaf Weber, &amp; Feltmate, B. W. (2016). </w:t>
      </w:r>
      <w:r w:rsidDel="00000000" w:rsidR="00000000" w:rsidRPr="00000000">
        <w:rPr>
          <w:rFonts w:ascii="Times New Roman" w:cs="Times New Roman" w:eastAsia="Times New Roman" w:hAnsi="Times New Roman"/>
          <w:i w:val="1"/>
          <w:sz w:val="24"/>
          <w:szCs w:val="24"/>
          <w:rtl w:val="0"/>
        </w:rPr>
        <w:t xml:space="preserve">Sustainable banking: managing the social and environmental impact of financial institutions</w:t>
      </w:r>
      <w:r w:rsidDel="00000000" w:rsidR="00000000" w:rsidRPr="00000000">
        <w:rPr>
          <w:rFonts w:ascii="Times New Roman" w:cs="Times New Roman" w:eastAsia="Times New Roman" w:hAnsi="Times New Roman"/>
          <w:sz w:val="24"/>
          <w:szCs w:val="24"/>
          <w:rtl w:val="0"/>
        </w:rPr>
        <w:t xml:space="preserve">. University Of Toronto Press.</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8.Eccles, R. G., &amp; Klimenco, S. (2019). </w:t>
      </w:r>
      <w:r w:rsidDel="00000000" w:rsidR="00000000" w:rsidRPr="00000000">
        <w:rPr>
          <w:rFonts w:ascii="Times New Roman" w:cs="Times New Roman" w:eastAsia="Times New Roman" w:hAnsi="Times New Roman"/>
          <w:i w:val="1"/>
          <w:sz w:val="24"/>
          <w:szCs w:val="24"/>
          <w:rtl w:val="0"/>
        </w:rPr>
        <w:t xml:space="preserve">The investor revolution</w:t>
      </w:r>
      <w:r w:rsidDel="00000000" w:rsidR="00000000" w:rsidRPr="00000000">
        <w:rPr>
          <w:rFonts w:ascii="Times New Roman" w:cs="Times New Roman" w:eastAsia="Times New Roman" w:hAnsi="Times New Roman"/>
          <w:sz w:val="24"/>
          <w:szCs w:val="24"/>
          <w:rtl w:val="0"/>
        </w:rPr>
        <w:t xml:space="preserve">. Harvard Business Review, 97(3), 106–116.</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Ioannis Ioannou, Serafeim, G., &amp; Harvard Business School. (2017). </w:t>
      </w:r>
      <w:r w:rsidDel="00000000" w:rsidR="00000000" w:rsidRPr="00000000">
        <w:rPr>
          <w:rFonts w:ascii="Times New Roman" w:cs="Times New Roman" w:eastAsia="Times New Roman" w:hAnsi="Times New Roman"/>
          <w:i w:val="1"/>
          <w:sz w:val="24"/>
          <w:szCs w:val="24"/>
          <w:rtl w:val="0"/>
        </w:rPr>
        <w:t xml:space="preserve">The consequences of mandatory corporate sustainability reporting: evidence from four countries</w:t>
      </w:r>
      <w:r w:rsidDel="00000000" w:rsidR="00000000" w:rsidRPr="00000000">
        <w:rPr>
          <w:rFonts w:ascii="Times New Roman" w:cs="Times New Roman" w:eastAsia="Times New Roman" w:hAnsi="Times New Roman"/>
          <w:sz w:val="24"/>
          <w:szCs w:val="24"/>
          <w:rtl w:val="0"/>
        </w:rPr>
        <w:t xml:space="preserve">. Harvard Business School.</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Eccles, R. G., Ioannis Ioannou, Serafeim, G., &amp; National Bureau of Economic Research. (2014). </w:t>
      </w:r>
      <w:r w:rsidDel="00000000" w:rsidR="00000000" w:rsidRPr="00000000">
        <w:rPr>
          <w:rFonts w:ascii="Times New Roman" w:cs="Times New Roman" w:eastAsia="Times New Roman" w:hAnsi="Times New Roman"/>
          <w:i w:val="1"/>
          <w:sz w:val="24"/>
          <w:szCs w:val="24"/>
          <w:rtl w:val="0"/>
        </w:rPr>
        <w:t xml:space="preserve">The Impact of Corporate Sustainability on Organizational Processes and Performance</w:t>
      </w:r>
      <w:r w:rsidDel="00000000" w:rsidR="00000000" w:rsidRPr="00000000">
        <w:rPr>
          <w:rFonts w:ascii="Times New Roman" w:cs="Times New Roman" w:eastAsia="Times New Roman" w:hAnsi="Times New Roman"/>
          <w:sz w:val="24"/>
          <w:szCs w:val="24"/>
          <w:rtl w:val="0"/>
        </w:rPr>
        <w:t xml:space="preserve">. Cambridge, Mass. National Bureau of Economic Research.</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11.Clark, G. L., Feiner, A., &amp; Viehs, M. (2015). From the Stockholder to the Stakeholder: How Sustainability Can Drive Financial Outperformance. </w:t>
      </w:r>
      <w:r w:rsidDel="00000000" w:rsidR="00000000" w:rsidRPr="00000000">
        <w:rPr>
          <w:rFonts w:ascii="Times New Roman" w:cs="Times New Roman" w:eastAsia="Times New Roman" w:hAnsi="Times New Roman"/>
          <w:i w:val="1"/>
          <w:sz w:val="24"/>
          <w:szCs w:val="24"/>
          <w:rtl w:val="0"/>
        </w:rPr>
        <w:t xml:space="preserve">SSRN Electronic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 https://doi.org/10.2139/ssrn.2508281</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Lyon, T. P., &amp; Montgomery, A. W. (2015). The Means and End of Greenwash. </w:t>
      </w:r>
      <w:r w:rsidDel="00000000" w:rsidR="00000000" w:rsidRPr="00000000">
        <w:rPr>
          <w:rFonts w:ascii="Times New Roman" w:cs="Times New Roman" w:eastAsia="Times New Roman" w:hAnsi="Times New Roman"/>
          <w:i w:val="1"/>
          <w:sz w:val="24"/>
          <w:szCs w:val="24"/>
          <w:rtl w:val="0"/>
        </w:rPr>
        <w:t xml:space="preserve">Organization &amp; Environment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(2), 223–249.</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Grewal, J., Serafeim, G., &amp; Yoon, A. (2016, July 6). </w:t>
      </w:r>
      <w:r w:rsidDel="00000000" w:rsidR="00000000" w:rsidRPr="00000000">
        <w:rPr>
          <w:rFonts w:ascii="Times New Roman" w:cs="Times New Roman" w:eastAsia="Times New Roman" w:hAnsi="Times New Roman"/>
          <w:i w:val="1"/>
          <w:sz w:val="24"/>
          <w:szCs w:val="24"/>
          <w:rtl w:val="0"/>
        </w:rPr>
        <w:t xml:space="preserve">Shareholder Activism on Sustainability Issues</w:t>
      </w:r>
      <w:r w:rsidDel="00000000" w:rsidR="00000000" w:rsidRPr="00000000">
        <w:rPr>
          <w:rFonts w:ascii="Times New Roman" w:cs="Times New Roman" w:eastAsia="Times New Roman" w:hAnsi="Times New Roman"/>
          <w:sz w:val="24"/>
          <w:szCs w:val="24"/>
          <w:rtl w:val="0"/>
        </w:rPr>
        <w:t xml:space="preserve">. Papers.ssrn.com. https://papers.ssrn.com/sol3/papers.cfm?abstract_id=2805512</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14.Amberg, N., &amp; Friberg, R. (2016). Three Approaches to Risk Management-and How and Why Swedish Companies Use Them. </w:t>
      </w:r>
      <w:r w:rsidDel="00000000" w:rsidR="00000000" w:rsidRPr="00000000">
        <w:rPr>
          <w:rFonts w:ascii="Times New Roman" w:cs="Times New Roman" w:eastAsia="Times New Roman" w:hAnsi="Times New Roman"/>
          <w:i w:val="1"/>
          <w:sz w:val="24"/>
          <w:szCs w:val="24"/>
          <w:rtl w:val="0"/>
        </w:rPr>
        <w:t xml:space="preserve">Journal of Applied Corporate 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(1), 86–94. https://doi.org/10.1111/jacf.12161</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E4675"/>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7E4675"/>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7E4675"/>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7E4675"/>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7E4675"/>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7E467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E467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E467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E467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E467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7E467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7E467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7E467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7E467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7E467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E467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E467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E467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E467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E467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E467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E467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E467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E4675"/>
    <w:rPr>
      <w:i w:val="1"/>
      <w:iCs w:val="1"/>
      <w:color w:val="404040" w:themeColor="text1" w:themeTint="0000BF"/>
    </w:rPr>
  </w:style>
  <w:style w:type="paragraph" w:styleId="ListParagraph">
    <w:name w:val="List Paragraph"/>
    <w:basedOn w:val="Normal"/>
    <w:uiPriority w:val="34"/>
    <w:qFormat w:val="1"/>
    <w:rsid w:val="007E4675"/>
    <w:pPr>
      <w:ind w:left="720"/>
      <w:contextualSpacing w:val="1"/>
    </w:pPr>
  </w:style>
  <w:style w:type="character" w:styleId="IntenseEmphasis">
    <w:name w:val="Intense Emphasis"/>
    <w:basedOn w:val="DefaultParagraphFont"/>
    <w:uiPriority w:val="21"/>
    <w:qFormat w:val="1"/>
    <w:rsid w:val="007E4675"/>
    <w:rPr>
      <w:i w:val="1"/>
      <w:iCs w:val="1"/>
      <w:color w:val="2f5496" w:themeColor="accent1" w:themeShade="0000BF"/>
    </w:rPr>
  </w:style>
  <w:style w:type="paragraph" w:styleId="IntenseQuote">
    <w:name w:val="Intense Quote"/>
    <w:basedOn w:val="Normal"/>
    <w:next w:val="Normal"/>
    <w:link w:val="IntenseQuoteChar"/>
    <w:uiPriority w:val="30"/>
    <w:qFormat w:val="1"/>
    <w:rsid w:val="007E467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7E4675"/>
    <w:rPr>
      <w:i w:val="1"/>
      <w:iCs w:val="1"/>
      <w:color w:val="2f5496" w:themeColor="accent1" w:themeShade="0000BF"/>
    </w:rPr>
  </w:style>
  <w:style w:type="character" w:styleId="IntenseReference">
    <w:name w:val="Intense Reference"/>
    <w:basedOn w:val="DefaultParagraphFont"/>
    <w:uiPriority w:val="32"/>
    <w:qFormat w:val="1"/>
    <w:rsid w:val="007E4675"/>
    <w:rPr>
      <w:b w:val="1"/>
      <w:bCs w:val="1"/>
      <w:smallCaps w:val="1"/>
      <w:color w:val="2f5496" w:themeColor="accent1" w:themeShade="0000BF"/>
      <w:spacing w:val="5"/>
    </w:rPr>
  </w:style>
  <w:style w:type="paragraph" w:styleId="Header">
    <w:name w:val="header"/>
    <w:basedOn w:val="Normal"/>
    <w:link w:val="HeaderChar"/>
    <w:uiPriority w:val="99"/>
    <w:unhideWhenUsed w:val="1"/>
    <w:rsid w:val="00543E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3EED"/>
  </w:style>
  <w:style w:type="paragraph" w:styleId="Footer">
    <w:name w:val="footer"/>
    <w:basedOn w:val="Normal"/>
    <w:link w:val="FooterChar"/>
    <w:uiPriority w:val="99"/>
    <w:unhideWhenUsed w:val="1"/>
    <w:rsid w:val="00543E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3EED"/>
  </w:style>
  <w:style w:type="character" w:styleId="Hyperlink">
    <w:name w:val="Hyperlink"/>
    <w:basedOn w:val="DefaultParagraphFont"/>
    <w:uiPriority w:val="99"/>
    <w:unhideWhenUsed w:val="1"/>
    <w:rsid w:val="0069642E"/>
    <w:rPr>
      <w:color w:val="0563c1" w:themeColor="hyperlink"/>
      <w:u w:val="single"/>
    </w:rPr>
  </w:style>
  <w:style w:type="character" w:styleId="UnresolvedMention">
    <w:name w:val="Unresolved Mention"/>
    <w:basedOn w:val="DefaultParagraphFont"/>
    <w:uiPriority w:val="99"/>
    <w:semiHidden w:val="1"/>
    <w:unhideWhenUsed w:val="1"/>
    <w:rsid w:val="0069642E"/>
    <w:rPr>
      <w:color w:val="605e5c"/>
      <w:shd w:color="auto" w:fill="e1dfdd" w:val="clear"/>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rbi.org.in/Scripts/BS_ViewBulletin.aspx?Id=2046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ebi.gov.in/legal/circulars/jul-2023/brsr-core-framework-for-assurance-and-esg-disclosures-for-value-chain_73854.html" TargetMode="External"/><Relationship Id="rId8" Type="http://schemas.openxmlformats.org/officeDocument/2006/relationships/hyperlink" Target="https://www.sebi.gov.in/legal/circulars/may-2021/business-responsibility-and-sustainability-reporting-by-listed-entities_500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Dwvq6rRM/VM32zRMOGAnbOdRA==">CgMxLjA4AHIhMWpDemdVekFrUUoyLUxtbGhvakg1RzRaLTk4ZFhUb24z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2025-03-29T05:01:00Z</dcterms:created>
  <dc:creator>SOUMYA SINGH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138ad315-8b56-4612-a54c-533c718d013f</vt:lpwstr>
  </property>
</Properties>
</file>